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714" w:type="dxa"/>
        <w:tblLook w:val="04A0"/>
      </w:tblPr>
      <w:tblGrid>
        <w:gridCol w:w="2038"/>
        <w:gridCol w:w="1211"/>
        <w:gridCol w:w="1369"/>
        <w:gridCol w:w="6014"/>
      </w:tblGrid>
      <w:tr w:rsidR="00D7121D" w:rsidRPr="004A7D8E" w:rsidTr="004A7D8E">
        <w:tc>
          <w:tcPr>
            <w:tcW w:w="2038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1211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369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014" w:type="dxa"/>
          </w:tcPr>
          <w:p w:rsidR="004A7D8E" w:rsidRPr="004A7D8E" w:rsidRDefault="004A7D8E" w:rsidP="004A7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 дисципліни</w:t>
            </w:r>
          </w:p>
        </w:tc>
      </w:tr>
      <w:tr w:rsidR="00D7121D" w:rsidRPr="00C82D31" w:rsidTr="004A7D8E">
        <w:tc>
          <w:tcPr>
            <w:tcW w:w="2038" w:type="dxa"/>
          </w:tcPr>
          <w:p w:rsidR="004A7D8E" w:rsidRPr="004A7D8E" w:rsidRDefault="00F819E1" w:rsidP="004A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Електричні апарати</w:t>
            </w:r>
          </w:p>
        </w:tc>
        <w:tc>
          <w:tcPr>
            <w:tcW w:w="1211" w:type="dxa"/>
          </w:tcPr>
          <w:p w:rsidR="004A7D8E" w:rsidRPr="004A7D8E" w:rsidRDefault="00F819E1" w:rsidP="004A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69" w:type="dxa"/>
          </w:tcPr>
          <w:p w:rsidR="004A7D8E" w:rsidRPr="004A7D8E" w:rsidRDefault="004A7D8E" w:rsidP="004A7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014" w:type="dxa"/>
          </w:tcPr>
          <w:p w:rsidR="004A7D8E" w:rsidRPr="00E22B0E" w:rsidRDefault="00E22B0E" w:rsidP="00E22B0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B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Метою дисципліни є</w:t>
            </w:r>
            <w:r w:rsidRPr="00E22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ознайомлення з основними вимогами, що ставляться до апаратів низької напруги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високої напруги</w:t>
            </w:r>
            <w:r w:rsidRPr="00E22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контактними з’єднаннями та основами теплових розрахунків електричних апаратів, електричною дугою та дугогасними пристроями комутаційних апаратів низької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високої</w:t>
            </w:r>
            <w:r w:rsidRPr="00E22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напруги, електромагнітними механізмами електричних апаратів,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безконтактними апаратами</w:t>
            </w:r>
            <w:r w:rsidRPr="00E22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22B0E" w:rsidRPr="00E22B0E" w:rsidRDefault="004A7D8E" w:rsidP="00E22B0E">
            <w:pPr>
              <w:pStyle w:val="Default"/>
              <w:ind w:firstLine="709"/>
              <w:jc w:val="both"/>
              <w:rPr>
                <w:lang w:val="uk-UA"/>
              </w:rPr>
            </w:pPr>
            <w:r w:rsidRPr="00E22B0E">
              <w:rPr>
                <w:lang w:val="uk-UA"/>
              </w:rPr>
              <w:t xml:space="preserve">Основними завданнями вивчення дисципліни є: </w:t>
            </w:r>
            <w:r w:rsidR="00E22B0E" w:rsidRPr="00E22B0E">
              <w:rPr>
                <w:lang w:val="uk-UA"/>
              </w:rPr>
              <w:t>дослідження процесів і явищ в типових елементах електричних апаратів;</w:t>
            </w:r>
            <w:r w:rsidR="00E22B0E">
              <w:rPr>
                <w:lang w:val="uk-UA"/>
              </w:rPr>
              <w:t xml:space="preserve"> </w:t>
            </w:r>
            <w:r w:rsidR="00E22B0E" w:rsidRPr="00E22B0E">
              <w:rPr>
                <w:lang w:val="uk-UA"/>
              </w:rPr>
              <w:t>здобування знань, які дозволяють вибрати необхідні електричні апарати для застосування їх у виробничих процес</w:t>
            </w:r>
            <w:r w:rsidR="00E22B0E">
              <w:rPr>
                <w:lang w:val="uk-UA"/>
              </w:rPr>
              <w:t>ах</w:t>
            </w:r>
            <w:r w:rsidR="00E22B0E" w:rsidRPr="00E22B0E">
              <w:rPr>
                <w:lang w:val="uk-UA"/>
              </w:rPr>
              <w:t>;</w:t>
            </w:r>
            <w:r w:rsidR="00E22B0E">
              <w:rPr>
                <w:lang w:val="uk-UA"/>
              </w:rPr>
              <w:t xml:space="preserve"> вивчення принципу дії та будови апаратів високої та низької напруги.</w:t>
            </w:r>
            <w:r w:rsidR="00E22B0E" w:rsidRPr="00E22B0E">
              <w:rPr>
                <w:lang w:val="uk-UA"/>
              </w:rPr>
              <w:t xml:space="preserve"> </w:t>
            </w:r>
          </w:p>
          <w:p w:rsidR="004A7D8E" w:rsidRPr="00EC6C97" w:rsidRDefault="004A7D8E" w:rsidP="00EC6C9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результаті вивчення навчальної дисципліни </w:t>
            </w:r>
            <w:r w:rsid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 освіти</w:t>
            </w: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повинен знати:</w:t>
            </w:r>
            <w:r w:rsid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22B0E" w:rsidRPr="00E22B0E">
              <w:rPr>
                <w:rFonts w:ascii="Times New Roman" w:eastAsia="Calibri" w:hAnsi="Times New Roman" w:cs="Times New Roman"/>
                <w:kern w:val="24"/>
                <w:sz w:val="24"/>
                <w:lang w:val="uk-UA"/>
              </w:rPr>
              <w:t>основи теорії електричних апаратів, основи їх теплових розрахунків, основи розрахунків електродинамічних сил та магнітних кіл; призначення та будову, принцип дії високовольтних вимикачів та вимикачів навантаження, роз’єднувачів,</w:t>
            </w:r>
            <w:r w:rsidR="00E22B0E">
              <w:rPr>
                <w:rFonts w:ascii="Times New Roman" w:hAnsi="Times New Roman" w:cs="Times New Roman"/>
                <w:kern w:val="24"/>
                <w:sz w:val="24"/>
                <w:lang w:val="uk-UA"/>
              </w:rPr>
              <w:t xml:space="preserve"> </w:t>
            </w:r>
            <w:proofErr w:type="spellStart"/>
            <w:r w:rsidR="00E22B0E" w:rsidRPr="00E22B0E">
              <w:rPr>
                <w:rFonts w:ascii="Times New Roman" w:eastAsia="Calibri" w:hAnsi="Times New Roman" w:cs="Times New Roman"/>
                <w:kern w:val="24"/>
                <w:sz w:val="24"/>
                <w:lang w:val="uk-UA"/>
              </w:rPr>
              <w:t>відокремлювачів</w:t>
            </w:r>
            <w:proofErr w:type="spellEnd"/>
            <w:r w:rsidR="00E22B0E" w:rsidRPr="00E22B0E">
              <w:rPr>
                <w:rFonts w:ascii="Times New Roman" w:eastAsia="Calibri" w:hAnsi="Times New Roman" w:cs="Times New Roman"/>
                <w:kern w:val="24"/>
                <w:sz w:val="24"/>
                <w:lang w:val="uk-UA"/>
              </w:rPr>
              <w:t>, розрядників; призначення та будову, принцип дії контактних апаратів низької напруги</w:t>
            </w:r>
            <w:r w:rsidR="00E22B0E">
              <w:rPr>
                <w:rFonts w:ascii="Times New Roman" w:hAnsi="Times New Roman" w:cs="Times New Roman"/>
                <w:kern w:val="24"/>
                <w:sz w:val="24"/>
                <w:lang w:val="uk-UA"/>
              </w:rPr>
              <w:t>.</w:t>
            </w:r>
          </w:p>
        </w:tc>
      </w:tr>
      <w:tr w:rsidR="00753E3B" w:rsidRPr="004A7D8E" w:rsidTr="004A7D8E">
        <w:tc>
          <w:tcPr>
            <w:tcW w:w="2038" w:type="dxa"/>
          </w:tcPr>
          <w:p w:rsidR="00753E3B" w:rsidRPr="004A7D8E" w:rsidRDefault="00753E3B" w:rsidP="00113F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Електричні та електронні апарати</w:t>
            </w:r>
          </w:p>
        </w:tc>
        <w:tc>
          <w:tcPr>
            <w:tcW w:w="1211" w:type="dxa"/>
          </w:tcPr>
          <w:p w:rsidR="00753E3B" w:rsidRPr="004A7D8E" w:rsidRDefault="00753E3B" w:rsidP="00113F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69" w:type="dxa"/>
          </w:tcPr>
          <w:p w:rsidR="00753E3B" w:rsidRPr="004A7D8E" w:rsidRDefault="00753E3B" w:rsidP="00113F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014" w:type="dxa"/>
          </w:tcPr>
          <w:p w:rsidR="00753E3B" w:rsidRPr="00EC6C97" w:rsidRDefault="00753E3B" w:rsidP="00EC6C97">
            <w:pPr>
              <w:pStyle w:val="Default"/>
              <w:jc w:val="both"/>
              <w:rPr>
                <w:lang w:val="uk-UA"/>
              </w:rPr>
            </w:pPr>
            <w:r w:rsidRPr="00D7121D">
              <w:rPr>
                <w:lang w:val="uk-UA"/>
              </w:rPr>
              <w:t xml:space="preserve">Метою викладання навчальної дисципліни є </w:t>
            </w:r>
            <w:r w:rsidR="00EC6C97" w:rsidRPr="00EC6C97">
              <w:rPr>
                <w:lang w:val="uk-UA"/>
              </w:rPr>
              <w:t>теоретична і практична підготовка у галузі електричних та електронних апаратів керування електроприводом, придбання навичок вибору; формування навичок самостійного творчого мислення та самовдосконалення, що є основою для подальшої активної творчої діяльності</w:t>
            </w:r>
            <w:r w:rsidR="00EC6C97">
              <w:rPr>
                <w:lang w:val="uk-UA"/>
              </w:rPr>
              <w:t xml:space="preserve"> </w:t>
            </w:r>
            <w:r w:rsidR="00EC6C97" w:rsidRPr="00EC6C97">
              <w:rPr>
                <w:lang w:val="uk-UA"/>
              </w:rPr>
              <w:t>на сучасному автоматизованому підприємстві.</w:t>
            </w:r>
          </w:p>
          <w:p w:rsidR="00753E3B" w:rsidRPr="00EC6C97" w:rsidRDefault="00753E3B" w:rsidP="00EC6C9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Основними завданнями вивчення дисципліни є:</w:t>
            </w:r>
            <w:r w:rsid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6C97" w:rsidRPr="00EC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отримання знань, що дозволяють правильно вибирати електричні та електронні апарати залежно від технічних та економічних вимог, що пред'являються до них; вивчення принципу дії та програмування </w:t>
            </w:r>
            <w:r w:rsidR="00EC6C97" w:rsidRPr="00EC6C9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електричних та електронних апаратів.</w:t>
            </w:r>
          </w:p>
          <w:p w:rsidR="00753E3B" w:rsidRPr="00EC6C97" w:rsidRDefault="00753E3B" w:rsidP="00EC6C9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6C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навчальної дисципліни здобувач освіти повинен знати:</w:t>
            </w:r>
          </w:p>
          <w:p w:rsidR="00EC6C97" w:rsidRPr="00EC6C97" w:rsidRDefault="00EC6C97" w:rsidP="00EC6C9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термінологію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позначення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галузі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апараті</w:t>
            </w:r>
            <w:proofErr w:type="gram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</w:p>
          <w:p w:rsidR="00EC6C97" w:rsidRPr="00EC6C97" w:rsidRDefault="00EC6C97" w:rsidP="00EC6C9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арх</w:t>
            </w:r>
            <w:proofErr w:type="gram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ітектуру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і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дії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апаратів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</w:p>
          <w:p w:rsidR="00EC6C97" w:rsidRPr="00EC6C97" w:rsidRDefault="00EC6C97" w:rsidP="00EC6C9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фізичні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явища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які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виникають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апараті</w:t>
            </w:r>
            <w:proofErr w:type="gram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</w:p>
          <w:p w:rsidR="00EC6C97" w:rsidRPr="00EC6C97" w:rsidRDefault="00EC6C97" w:rsidP="00EC6C9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найважливіші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характеристики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апараті</w:t>
            </w:r>
            <w:proofErr w:type="gram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</w:p>
          <w:p w:rsidR="00EC6C97" w:rsidRPr="00EC6C97" w:rsidRDefault="00EC6C97" w:rsidP="00EC6C9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програмування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мікропроцесорних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апаратів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</w:p>
          <w:p w:rsidR="00753E3B" w:rsidRPr="004A7D8E" w:rsidRDefault="00EC6C97" w:rsidP="00EC6C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– заходи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щодо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безпечної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апараті</w:t>
            </w:r>
            <w:proofErr w:type="gramStart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C6C97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EC6C97">
              <w:rPr>
                <w:rFonts w:ascii="Times New Roman" w:eastAsia="MS Mincho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4A7D8E" w:rsidRDefault="004A7D8E" w:rsidP="004A7D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7D8E" w:rsidRDefault="004A7D8E" w:rsidP="004A7D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A7D8E" w:rsidSect="00D7121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D8E"/>
    <w:rsid w:val="0005456B"/>
    <w:rsid w:val="000C4184"/>
    <w:rsid w:val="00117DE5"/>
    <w:rsid w:val="00204BDC"/>
    <w:rsid w:val="003F5711"/>
    <w:rsid w:val="004A7D8E"/>
    <w:rsid w:val="005800D0"/>
    <w:rsid w:val="006A29D7"/>
    <w:rsid w:val="0071143F"/>
    <w:rsid w:val="0071682A"/>
    <w:rsid w:val="00753E3B"/>
    <w:rsid w:val="008C4602"/>
    <w:rsid w:val="009F5CD3"/>
    <w:rsid w:val="00A90B00"/>
    <w:rsid w:val="00AA52C5"/>
    <w:rsid w:val="00B458FC"/>
    <w:rsid w:val="00BE3404"/>
    <w:rsid w:val="00BE7CD4"/>
    <w:rsid w:val="00C82D31"/>
    <w:rsid w:val="00CE5116"/>
    <w:rsid w:val="00D54B31"/>
    <w:rsid w:val="00D7121D"/>
    <w:rsid w:val="00DA7961"/>
    <w:rsid w:val="00DF2751"/>
    <w:rsid w:val="00E22B0E"/>
    <w:rsid w:val="00EC6C97"/>
    <w:rsid w:val="00F56920"/>
    <w:rsid w:val="00F819E1"/>
    <w:rsid w:val="00FD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8E"/>
  </w:style>
  <w:style w:type="paragraph" w:styleId="1">
    <w:name w:val="heading 1"/>
    <w:basedOn w:val="a"/>
    <w:link w:val="10"/>
    <w:uiPriority w:val="9"/>
    <w:qFormat/>
    <w:rsid w:val="00D5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F5CD3"/>
    <w:pPr>
      <w:spacing w:after="0" w:line="240" w:lineRule="auto"/>
    </w:pPr>
  </w:style>
  <w:style w:type="paragraph" w:customStyle="1" w:styleId="Default">
    <w:name w:val="Default"/>
    <w:rsid w:val="00E22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C6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2021-09-08T05:46:00Z</dcterms:created>
  <dcterms:modified xsi:type="dcterms:W3CDTF">2021-09-13T10:31:00Z</dcterms:modified>
</cp:coreProperties>
</file>